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539765DD" w:rsidR="008F4AEA" w:rsidRPr="0017695A" w:rsidRDefault="008F4AEA" w:rsidP="008F4AEA">
          <w:pPr>
            <w:pStyle w:val="Titul2"/>
          </w:pPr>
          <w:r w:rsidRPr="007D3C01">
            <w:rPr>
              <w:rStyle w:val="Nzevakce"/>
              <w:b/>
            </w:rPr>
            <w:t>„</w:t>
          </w:r>
          <w:r w:rsidR="007D3C01" w:rsidRPr="007D3C01">
            <w:rPr>
              <w:rStyle w:val="Nzevakce"/>
              <w:b/>
            </w:rPr>
            <w:t>Optimalizace traťového úseku Děčín východ (mimo) – Děčín-Prostřední Žleb (mimo)</w:t>
          </w:r>
          <w:r w:rsidRPr="007D3C01">
            <w:rPr>
              <w:rStyle w:val="Nzevakce"/>
              <w:b/>
            </w:rPr>
            <w:t>“</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Pr="00473DA0" w:rsidRDefault="00C96E7C" w:rsidP="005B7883">
      <w:pPr>
        <w:pStyle w:val="Nadpisbezsl1-2"/>
      </w:pPr>
      <w:r w:rsidRPr="00473DA0">
        <w:t>1.1.2.4  Jméno (název)</w:t>
      </w:r>
      <w:r w:rsidR="00582C15" w:rsidRPr="00473DA0">
        <w:t xml:space="preserve"> a </w:t>
      </w:r>
      <w:r w:rsidRPr="00473DA0">
        <w:t>adresa Správce stavby</w:t>
      </w:r>
    </w:p>
    <w:p w14:paraId="6281EDDD" w14:textId="59D55D68" w:rsidR="00473DA0" w:rsidRPr="00B366D6" w:rsidRDefault="00473DA0" w:rsidP="00473DA0">
      <w:pPr>
        <w:pStyle w:val="Plnab0"/>
        <w:spacing w:after="0"/>
        <w:rPr>
          <w:rFonts w:asciiTheme="minorHAnsi" w:hAnsiTheme="minorHAnsi"/>
          <w:sz w:val="18"/>
          <w:szCs w:val="18"/>
        </w:rPr>
      </w:pPr>
      <w:r w:rsidRPr="00B366D6">
        <w:rPr>
          <w:rFonts w:asciiTheme="minorHAnsi" w:hAnsiTheme="minorHAnsi"/>
          <w:sz w:val="18"/>
          <w:szCs w:val="18"/>
        </w:rPr>
        <w:t xml:space="preserve">Ing. </w:t>
      </w:r>
      <w:r>
        <w:rPr>
          <w:rFonts w:asciiTheme="minorHAnsi" w:hAnsiTheme="minorHAnsi"/>
          <w:sz w:val="18"/>
          <w:szCs w:val="18"/>
        </w:rPr>
        <w:t>Martin Schejbal</w:t>
      </w:r>
    </w:p>
    <w:p w14:paraId="2D8F0F8D" w14:textId="77777777" w:rsidR="00473DA0" w:rsidRPr="00B366D6" w:rsidRDefault="00473DA0" w:rsidP="00473DA0">
      <w:pPr>
        <w:pStyle w:val="Plnab0"/>
        <w:spacing w:after="0"/>
        <w:rPr>
          <w:rFonts w:asciiTheme="minorHAnsi" w:hAnsiTheme="minorHAnsi"/>
          <w:sz w:val="18"/>
          <w:szCs w:val="18"/>
        </w:rPr>
      </w:pPr>
      <w:r w:rsidRPr="00B366D6">
        <w:rPr>
          <w:rFonts w:asciiTheme="minorHAnsi" w:hAnsiTheme="minorHAnsi"/>
          <w:sz w:val="18"/>
          <w:szCs w:val="18"/>
        </w:rPr>
        <w:t>Správa železnic, státní organizace</w:t>
      </w:r>
    </w:p>
    <w:p w14:paraId="64546D03" w14:textId="259C2B0F" w:rsidR="00473DA0" w:rsidRPr="00B366D6" w:rsidRDefault="00473DA0" w:rsidP="00473DA0">
      <w:pPr>
        <w:pStyle w:val="Plnab0"/>
        <w:spacing w:after="0"/>
        <w:rPr>
          <w:rFonts w:asciiTheme="minorHAnsi" w:hAnsiTheme="minorHAnsi"/>
          <w:sz w:val="18"/>
          <w:szCs w:val="18"/>
        </w:rPr>
      </w:pPr>
      <w:r>
        <w:rPr>
          <w:rFonts w:asciiTheme="minorHAnsi" w:hAnsiTheme="minorHAnsi"/>
          <w:sz w:val="18"/>
          <w:szCs w:val="18"/>
        </w:rPr>
        <w:t>Stavební správa západ</w:t>
      </w:r>
    </w:p>
    <w:p w14:paraId="15E6EF4C" w14:textId="64131009" w:rsidR="00473DA0" w:rsidRPr="00B366D6" w:rsidRDefault="00473DA0" w:rsidP="00473DA0">
      <w:pPr>
        <w:pStyle w:val="Plnab0"/>
        <w:spacing w:after="0"/>
        <w:rPr>
          <w:rFonts w:asciiTheme="minorHAnsi" w:hAnsiTheme="minorHAnsi"/>
          <w:sz w:val="18"/>
          <w:szCs w:val="18"/>
        </w:rPr>
      </w:pPr>
      <w:r>
        <w:rPr>
          <w:rFonts w:asciiTheme="minorHAnsi" w:hAnsiTheme="minorHAnsi"/>
          <w:sz w:val="18"/>
          <w:szCs w:val="18"/>
        </w:rPr>
        <w:t>Vojtěšská 856/2</w:t>
      </w:r>
      <w:r w:rsidRPr="00B366D6">
        <w:rPr>
          <w:rFonts w:asciiTheme="minorHAnsi" w:hAnsiTheme="minorHAnsi"/>
          <w:sz w:val="18"/>
          <w:szCs w:val="18"/>
        </w:rPr>
        <w:t>, 400 0</w:t>
      </w:r>
      <w:r>
        <w:rPr>
          <w:rFonts w:asciiTheme="minorHAnsi" w:hAnsiTheme="minorHAnsi"/>
          <w:sz w:val="18"/>
          <w:szCs w:val="18"/>
        </w:rPr>
        <w:t>1</w:t>
      </w:r>
      <w:r w:rsidRPr="00B366D6">
        <w:rPr>
          <w:rFonts w:asciiTheme="minorHAnsi" w:hAnsiTheme="minorHAnsi"/>
          <w:sz w:val="18"/>
          <w:szCs w:val="18"/>
        </w:rPr>
        <w:t xml:space="preserve"> Ústí nad Labem</w:t>
      </w:r>
    </w:p>
    <w:p w14:paraId="5776FCF7" w14:textId="77777777" w:rsidR="00473DA0" w:rsidRDefault="00473DA0" w:rsidP="00473DA0">
      <w:pPr>
        <w:spacing w:after="0"/>
      </w:pPr>
    </w:p>
    <w:p w14:paraId="4171F029" w14:textId="7C511E0E" w:rsidR="00C96E7C" w:rsidRDefault="00473DA0" w:rsidP="00473DA0">
      <w:r w:rsidRPr="000B4CA6">
        <w:t>Mobil:  +420</w:t>
      </w:r>
      <w:r>
        <w:t> 727 876 476</w:t>
      </w:r>
      <w:r w:rsidRPr="00D0249E">
        <w:t xml:space="preserve">, e-mail: </w:t>
      </w:r>
      <w:hyperlink r:id="rId11" w:history="1">
        <w:r w:rsidRPr="00964896">
          <w:rPr>
            <w:rStyle w:val="Hypertextovodkaz"/>
            <w:noProof w:val="0"/>
          </w:rPr>
          <w:t>SchejbalM@spravazeleznic.cz</w:t>
        </w:r>
      </w:hyperlink>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lastRenderedPageBreak/>
        <w:t>Správcem</w:t>
      </w:r>
      <w:r>
        <w:t xml:space="preserve"> stavby odsouhlasený soupis provedených prací.</w:t>
      </w:r>
    </w:p>
    <w:p w14:paraId="1E13BD4E" w14:textId="2260D4C1" w:rsidR="00C96E7C" w:rsidRDefault="00C96E7C" w:rsidP="00B511CF">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 xml:space="preserve">písm. a) až c) tohoto </w:t>
      </w:r>
      <w:r w:rsidR="00473DA0">
        <w:t>odstavce 1.1.4.15.</w:t>
      </w:r>
    </w:p>
    <w:p w14:paraId="76521FB1" w14:textId="7E0C1631"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66967901" w:rsidR="00C96E7C"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88" w:type="dxa"/>
        <w:tblLayout w:type="fixed"/>
        <w:tblLook w:val="04A0" w:firstRow="1" w:lastRow="0" w:firstColumn="1" w:lastColumn="0" w:noHBand="0" w:noVBand="1"/>
      </w:tblPr>
      <w:tblGrid>
        <w:gridCol w:w="709"/>
        <w:gridCol w:w="1559"/>
        <w:gridCol w:w="3415"/>
        <w:gridCol w:w="1393"/>
        <w:gridCol w:w="1812"/>
      </w:tblGrid>
      <w:tr w:rsidR="00D143CA" w:rsidRPr="00E01EC2" w14:paraId="33B1B4CA" w14:textId="77777777" w:rsidTr="007F4E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gridSpan w:val="2"/>
            <w:tcBorders>
              <w:bottom w:val="single" w:sz="2" w:space="0" w:color="auto"/>
            </w:tcBorders>
          </w:tcPr>
          <w:p w14:paraId="0352E3ED" w14:textId="77777777" w:rsidR="00D143CA" w:rsidRPr="00640545" w:rsidRDefault="00D143CA" w:rsidP="00FC5DDC">
            <w:pPr>
              <w:pStyle w:val="Tabulka-9"/>
              <w:rPr>
                <w:b/>
              </w:rPr>
            </w:pPr>
            <w:r>
              <w:rPr>
                <w:b/>
              </w:rPr>
              <w:t xml:space="preserve">Sekce </w:t>
            </w:r>
          </w:p>
        </w:tc>
        <w:tc>
          <w:tcPr>
            <w:tcW w:w="3415" w:type="dxa"/>
            <w:tcBorders>
              <w:bottom w:val="single" w:sz="2" w:space="0" w:color="auto"/>
            </w:tcBorders>
          </w:tcPr>
          <w:p w14:paraId="1DFEB47F" w14:textId="77777777" w:rsidR="00D143CA" w:rsidRPr="00640545" w:rsidRDefault="00D143CA" w:rsidP="00FC5DDC">
            <w:pPr>
              <w:pStyle w:val="Tabulka-9"/>
              <w:cnfStyle w:val="100000000000" w:firstRow="1" w:lastRow="0" w:firstColumn="0" w:lastColumn="0" w:oddVBand="0" w:evenVBand="0" w:oddHBand="0" w:evenHBand="0" w:firstRowFirstColumn="0" w:firstRowLastColumn="0" w:lastRowFirstColumn="0" w:lastRowLastColumn="0"/>
              <w:rPr>
                <w:b/>
              </w:rPr>
            </w:pPr>
            <w:r w:rsidRPr="00640545">
              <w:rPr>
                <w:b/>
              </w:rPr>
              <w:t>Činnosti</w:t>
            </w:r>
          </w:p>
        </w:tc>
        <w:tc>
          <w:tcPr>
            <w:tcW w:w="1393" w:type="dxa"/>
            <w:tcBorders>
              <w:bottom w:val="single" w:sz="2" w:space="0" w:color="auto"/>
            </w:tcBorders>
          </w:tcPr>
          <w:p w14:paraId="4F5F24DC" w14:textId="77777777" w:rsidR="00D143CA" w:rsidRPr="00640545" w:rsidRDefault="00D143CA" w:rsidP="00FC5DDC">
            <w:pPr>
              <w:pStyle w:val="Tabulka-9"/>
              <w:cnfStyle w:val="100000000000" w:firstRow="1" w:lastRow="0" w:firstColumn="0" w:lastColumn="0" w:oddVBand="0" w:evenVBand="0" w:oddHBand="0" w:evenHBand="0" w:firstRowFirstColumn="0" w:firstRowLastColumn="0" w:lastRowFirstColumn="0" w:lastRowLastColumn="0"/>
              <w:rPr>
                <w:b/>
              </w:rPr>
            </w:pPr>
            <w:r w:rsidRPr="00640545">
              <w:rPr>
                <w:b/>
              </w:rPr>
              <w:t>Typ výluky</w:t>
            </w:r>
          </w:p>
        </w:tc>
        <w:tc>
          <w:tcPr>
            <w:tcW w:w="1812" w:type="dxa"/>
            <w:tcBorders>
              <w:bottom w:val="single" w:sz="2" w:space="0" w:color="auto"/>
            </w:tcBorders>
          </w:tcPr>
          <w:p w14:paraId="1015E9A9" w14:textId="77777777" w:rsidR="00D143CA" w:rsidRPr="00640545" w:rsidRDefault="00D143CA" w:rsidP="00FC5DDC">
            <w:pPr>
              <w:pStyle w:val="Tabulka-9"/>
              <w:cnfStyle w:val="100000000000" w:firstRow="1" w:lastRow="0" w:firstColumn="0" w:lastColumn="0" w:oddVBand="0" w:evenVBand="0" w:oddHBand="0" w:evenHBand="0" w:firstRowFirstColumn="0" w:firstRowLastColumn="0" w:lastRowFirstColumn="0" w:lastRowLastColumn="0"/>
              <w:rPr>
                <w:b/>
              </w:rPr>
            </w:pPr>
            <w:r w:rsidRPr="00640545">
              <w:rPr>
                <w:b/>
              </w:rPr>
              <w:t>Doba trvání</w:t>
            </w:r>
          </w:p>
        </w:tc>
      </w:tr>
      <w:tr w:rsidR="00D143CA" w:rsidRPr="00090466" w14:paraId="4B2DD031" w14:textId="77777777" w:rsidTr="007F4E20">
        <w:tc>
          <w:tcPr>
            <w:cnfStyle w:val="001000000000" w:firstRow="0" w:lastRow="0" w:firstColumn="1" w:lastColumn="0" w:oddVBand="0" w:evenVBand="0" w:oddHBand="0" w:evenHBand="0" w:firstRowFirstColumn="0" w:firstRowLastColumn="0" w:lastRowFirstColumn="0" w:lastRowLastColumn="0"/>
            <w:tcW w:w="2268" w:type="dxa"/>
            <w:gridSpan w:val="2"/>
            <w:tcBorders>
              <w:top w:val="single" w:sz="2" w:space="0" w:color="auto"/>
              <w:bottom w:val="single" w:sz="2" w:space="0" w:color="auto"/>
            </w:tcBorders>
          </w:tcPr>
          <w:p w14:paraId="43716C4B" w14:textId="77777777" w:rsidR="00D143CA" w:rsidRPr="00090466" w:rsidRDefault="00D143CA" w:rsidP="00FC5DDC">
            <w:pPr>
              <w:pStyle w:val="Tabulka-9"/>
            </w:pPr>
            <w:r w:rsidRPr="00333EDF">
              <w:t>Sekce 1 stavební</w:t>
            </w:r>
          </w:p>
        </w:tc>
        <w:tc>
          <w:tcPr>
            <w:tcW w:w="3415" w:type="dxa"/>
            <w:tcBorders>
              <w:top w:val="single" w:sz="2" w:space="0" w:color="auto"/>
              <w:bottom w:val="single" w:sz="2" w:space="0" w:color="auto"/>
            </w:tcBorders>
          </w:tcPr>
          <w:p w14:paraId="71545AF3" w14:textId="77777777" w:rsidR="00D143CA" w:rsidRPr="00090466" w:rsidRDefault="00D143CA" w:rsidP="00FC5DDC">
            <w:pPr>
              <w:pStyle w:val="Tabulka-9"/>
              <w:cnfStyle w:val="000000000000" w:firstRow="0" w:lastRow="0" w:firstColumn="0" w:lastColumn="0" w:oddVBand="0" w:evenVBand="0" w:oddHBand="0" w:evenHBand="0" w:firstRowFirstColumn="0" w:firstRowLastColumn="0" w:lastRowFirstColumn="0" w:lastRowLastColumn="0"/>
            </w:pPr>
            <w:r w:rsidRPr="00090466">
              <w:t>Všechny SO a PS</w:t>
            </w:r>
            <w:r>
              <w:t xml:space="preserve"> (obsaženy v Sekci 2 – 4)</w:t>
            </w:r>
            <w:r w:rsidRPr="00090466">
              <w:t xml:space="preserve"> a polož</w:t>
            </w:r>
            <w:r>
              <w:t>ky</w:t>
            </w:r>
            <w:r w:rsidRPr="00090466">
              <w:t xml:space="preserve"> SO 98-98 č. </w:t>
            </w:r>
            <w:r>
              <w:t>1, 2, 3, 5 a 6.</w:t>
            </w:r>
          </w:p>
        </w:tc>
        <w:tc>
          <w:tcPr>
            <w:tcW w:w="1393" w:type="dxa"/>
            <w:tcBorders>
              <w:top w:val="single" w:sz="2" w:space="0" w:color="auto"/>
              <w:bottom w:val="single" w:sz="2" w:space="0" w:color="auto"/>
            </w:tcBorders>
          </w:tcPr>
          <w:p w14:paraId="4C321716" w14:textId="77777777" w:rsidR="00D143CA" w:rsidRPr="00090466" w:rsidRDefault="00D143CA" w:rsidP="00FC5DDC">
            <w:pPr>
              <w:pStyle w:val="Tabulka-9"/>
              <w:cnfStyle w:val="000000000000" w:firstRow="0" w:lastRow="0" w:firstColumn="0" w:lastColumn="0" w:oddVBand="0" w:evenVBand="0" w:oddHBand="0" w:evenHBand="0" w:firstRowFirstColumn="0" w:firstRowLastColumn="0" w:lastRowFirstColumn="0" w:lastRowLastColumn="0"/>
            </w:pPr>
          </w:p>
        </w:tc>
        <w:tc>
          <w:tcPr>
            <w:tcW w:w="1812" w:type="dxa"/>
            <w:tcBorders>
              <w:top w:val="single" w:sz="2" w:space="0" w:color="auto"/>
              <w:bottom w:val="single" w:sz="2" w:space="0" w:color="auto"/>
            </w:tcBorders>
          </w:tcPr>
          <w:p w14:paraId="38AC75BE" w14:textId="77777777" w:rsidR="00D143CA" w:rsidRPr="00090466" w:rsidRDefault="00D143CA" w:rsidP="00FC5DDC">
            <w:pPr>
              <w:pStyle w:val="Tabulka-9"/>
              <w:cnfStyle w:val="000000000000" w:firstRow="0" w:lastRow="0" w:firstColumn="0" w:lastColumn="0" w:oddVBand="0" w:evenVBand="0" w:oddHBand="0" w:evenHBand="0" w:firstRowFirstColumn="0" w:firstRowLastColumn="0" w:lastRowFirstColumn="0" w:lastRowLastColumn="0"/>
            </w:pPr>
            <w:r w:rsidRPr="00090466">
              <w:t>2</w:t>
            </w:r>
            <w:r>
              <w:t>3</w:t>
            </w:r>
            <w:r w:rsidRPr="00090466">
              <w:t xml:space="preserve"> měsíců</w:t>
            </w:r>
          </w:p>
        </w:tc>
      </w:tr>
      <w:tr w:rsidR="00D143CA" w:rsidRPr="007E040C" w14:paraId="407DF691" w14:textId="77777777" w:rsidTr="007F4E20">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2" w:space="0" w:color="auto"/>
            </w:tcBorders>
            <w:textDirection w:val="btLr"/>
          </w:tcPr>
          <w:p w14:paraId="3798BD4B" w14:textId="77777777" w:rsidR="00D143CA" w:rsidRDefault="00D143CA" w:rsidP="00FC5DDC">
            <w:pPr>
              <w:pStyle w:val="Tabulka-9"/>
              <w:ind w:left="113" w:right="113"/>
              <w:jc w:val="center"/>
            </w:pPr>
            <w:r>
              <w:t>Sekce 1 stavební</w:t>
            </w:r>
          </w:p>
        </w:tc>
        <w:tc>
          <w:tcPr>
            <w:tcW w:w="1559" w:type="dxa"/>
            <w:tcBorders>
              <w:top w:val="single" w:sz="2" w:space="0" w:color="auto"/>
            </w:tcBorders>
          </w:tcPr>
          <w:p w14:paraId="79A2C9BF"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pPr>
            <w:r>
              <w:t>Sekce 2 (viz Etapu 0 v HMG)</w:t>
            </w:r>
          </w:p>
        </w:tc>
        <w:tc>
          <w:tcPr>
            <w:tcW w:w="3415" w:type="dxa"/>
            <w:tcBorders>
              <w:top w:val="single" w:sz="2" w:space="0" w:color="auto"/>
            </w:tcBorders>
          </w:tcPr>
          <w:p w14:paraId="7522ACFA"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VTD ocelové konstrukce mostu a montážní dokumentace</w:t>
            </w:r>
            <w:r>
              <w:rPr>
                <w:sz w:val="16"/>
              </w:rPr>
              <w:t>,</w:t>
            </w:r>
          </w:p>
          <w:p w14:paraId="4E52F81E"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zajištění materiálu pro výrobu ocelové konstrukce mostu</w:t>
            </w:r>
            <w:r>
              <w:rPr>
                <w:sz w:val="16"/>
              </w:rPr>
              <w:t>,</w:t>
            </w:r>
          </w:p>
          <w:p w14:paraId="60057621"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výroba ocelové konstrukce mostu</w:t>
            </w:r>
            <w:r>
              <w:rPr>
                <w:sz w:val="16"/>
              </w:rPr>
              <w:t>,</w:t>
            </w:r>
          </w:p>
          <w:p w14:paraId="4C91CB05"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szCs w:val="16"/>
              </w:rPr>
            </w:pPr>
            <w:r w:rsidRPr="00407468">
              <w:rPr>
                <w:sz w:val="16"/>
              </w:rPr>
              <w:t>– příprava na zařízení staveniště</w:t>
            </w:r>
            <w:r>
              <w:rPr>
                <w:sz w:val="16"/>
              </w:rPr>
              <w:t>,</w:t>
            </w:r>
            <w:r w:rsidRPr="00407468">
              <w:rPr>
                <w:sz w:val="16"/>
              </w:rPr>
              <w:t xml:space="preserve"> (bárky, plošiny, montážní konstrukce apod.)</w:t>
            </w:r>
          </w:p>
        </w:tc>
        <w:tc>
          <w:tcPr>
            <w:tcW w:w="1393" w:type="dxa"/>
            <w:tcBorders>
              <w:top w:val="single" w:sz="2" w:space="0" w:color="auto"/>
            </w:tcBorders>
          </w:tcPr>
          <w:p w14:paraId="10266266" w14:textId="77777777" w:rsidR="00D143CA" w:rsidRPr="00585447" w:rsidRDefault="00D143CA" w:rsidP="00FC5DDC">
            <w:pPr>
              <w:pStyle w:val="Tabulka-9"/>
              <w:cnfStyle w:val="000000000000" w:firstRow="0" w:lastRow="0" w:firstColumn="0" w:lastColumn="0" w:oddVBand="0" w:evenVBand="0" w:oddHBand="0" w:evenHBand="0" w:firstRowFirstColumn="0" w:firstRowLastColumn="0" w:lastRowFirstColumn="0" w:lastRowLastColumn="0"/>
            </w:pPr>
            <w:r>
              <w:t>-není třeba</w:t>
            </w:r>
          </w:p>
        </w:tc>
        <w:tc>
          <w:tcPr>
            <w:tcW w:w="1812" w:type="dxa"/>
            <w:tcBorders>
              <w:top w:val="single" w:sz="2" w:space="0" w:color="auto"/>
            </w:tcBorders>
            <w:shd w:val="clear" w:color="auto" w:fill="auto"/>
          </w:tcPr>
          <w:p w14:paraId="2B99A5E4"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pPr>
            <w:r>
              <w:t xml:space="preserve">10 měsíců  od Data zahájení prací (Předpokládaný termín </w:t>
            </w:r>
            <w:r w:rsidRPr="00407468">
              <w:t>06/2021 - 03/2022</w:t>
            </w:r>
            <w:r>
              <w:t>)</w:t>
            </w:r>
          </w:p>
        </w:tc>
      </w:tr>
      <w:tr w:rsidR="00D143CA" w:rsidRPr="007E040C" w14:paraId="0B1AC4A9" w14:textId="77777777" w:rsidTr="007F4E20">
        <w:tc>
          <w:tcPr>
            <w:cnfStyle w:val="001000000000" w:firstRow="0" w:lastRow="0" w:firstColumn="1" w:lastColumn="0" w:oddVBand="0" w:evenVBand="0" w:oddHBand="0" w:evenHBand="0" w:firstRowFirstColumn="0" w:firstRowLastColumn="0" w:lastRowFirstColumn="0" w:lastRowLastColumn="0"/>
            <w:tcW w:w="709" w:type="dxa"/>
            <w:vMerge/>
          </w:tcPr>
          <w:p w14:paraId="3B68F13E" w14:textId="77777777" w:rsidR="00D143CA" w:rsidRDefault="00D143CA" w:rsidP="00FC5DDC">
            <w:pPr>
              <w:pStyle w:val="Tabulka-9"/>
            </w:pPr>
          </w:p>
        </w:tc>
        <w:tc>
          <w:tcPr>
            <w:tcW w:w="1559" w:type="dxa"/>
          </w:tcPr>
          <w:p w14:paraId="43FBA5D3" w14:textId="77777777" w:rsidR="00D143CA" w:rsidRPr="007E040C" w:rsidRDefault="00D143CA" w:rsidP="00FC5DDC">
            <w:pPr>
              <w:pStyle w:val="Tabulka-9"/>
              <w:cnfStyle w:val="000000000000" w:firstRow="0" w:lastRow="0" w:firstColumn="0" w:lastColumn="0" w:oddVBand="0" w:evenVBand="0" w:oddHBand="0" w:evenHBand="0" w:firstRowFirstColumn="0" w:firstRowLastColumn="0" w:lastRowFirstColumn="0" w:lastRowLastColumn="0"/>
              <w:rPr>
                <w:highlight w:val="green"/>
              </w:rPr>
            </w:pPr>
            <w:r>
              <w:t>Sekce 3 (viz Etapu</w:t>
            </w:r>
            <w:r w:rsidRPr="00407468">
              <w:t xml:space="preserve"> 1</w:t>
            </w:r>
            <w:r>
              <w:t xml:space="preserve"> v HMG)</w:t>
            </w:r>
            <w:r w:rsidRPr="00407468">
              <w:t xml:space="preserve"> </w:t>
            </w:r>
          </w:p>
        </w:tc>
        <w:tc>
          <w:tcPr>
            <w:tcW w:w="3415" w:type="dxa"/>
          </w:tcPr>
          <w:p w14:paraId="28156260"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úpravy železničního svršku a spodku,</w:t>
            </w:r>
          </w:p>
          <w:p w14:paraId="576BC4BB"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rekonstrukce mostu přes Labe,</w:t>
            </w:r>
          </w:p>
          <w:p w14:paraId="5C671B30"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sanace Děčínského tunelu,</w:t>
            </w:r>
          </w:p>
          <w:p w14:paraId="7A8AF7CC"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úpravy trakčního vedení,</w:t>
            </w:r>
          </w:p>
          <w:p w14:paraId="40513483"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úpravy zabezpečovací zařízení,</w:t>
            </w:r>
          </w:p>
          <w:p w14:paraId="0658528C"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úpravy sdělovacího zařízení,</w:t>
            </w:r>
          </w:p>
          <w:p w14:paraId="056366E1"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úpravy silových vedení,</w:t>
            </w:r>
          </w:p>
          <w:p w14:paraId="516E8B0C"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nezbytné přeložky IS v prostoru stavby (křížení s tratí),</w:t>
            </w:r>
          </w:p>
          <w:p w14:paraId="18D925E0"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protihlukové opatření,</w:t>
            </w:r>
          </w:p>
          <w:p w14:paraId="5D8EC609" w14:textId="77777777" w:rsidR="00D143CA" w:rsidRPr="00764F5F"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úprava území dotčeného stavbou</w:t>
            </w:r>
          </w:p>
        </w:tc>
        <w:tc>
          <w:tcPr>
            <w:tcW w:w="1393" w:type="dxa"/>
          </w:tcPr>
          <w:p w14:paraId="495021EF" w14:textId="77777777" w:rsidR="00D143CA" w:rsidRPr="00585447" w:rsidRDefault="00D143CA" w:rsidP="00FC5DDC">
            <w:pPr>
              <w:pStyle w:val="Tabulka-9"/>
              <w:cnfStyle w:val="000000000000" w:firstRow="0" w:lastRow="0" w:firstColumn="0" w:lastColumn="0" w:oddVBand="0" w:evenVBand="0" w:oddHBand="0" w:evenHBand="0" w:firstRowFirstColumn="0" w:firstRowLastColumn="0" w:lastRowFirstColumn="0" w:lastRowLastColumn="0"/>
            </w:pPr>
            <w:r w:rsidRPr="00585447">
              <w:t>260N</w:t>
            </w:r>
            <w:r>
              <w:t xml:space="preserve"> + výluky v dopravních pauzách</w:t>
            </w:r>
            <w:r w:rsidRPr="00585447">
              <w:t xml:space="preserve"> (viz </w:t>
            </w:r>
            <w:r>
              <w:t>DSP, část B, kap. 8.7 a 8.9</w:t>
            </w:r>
            <w:r w:rsidRPr="00585447">
              <w:t>)</w:t>
            </w:r>
            <w:r>
              <w:t xml:space="preserve"> </w:t>
            </w:r>
          </w:p>
        </w:tc>
        <w:tc>
          <w:tcPr>
            <w:tcW w:w="1812" w:type="dxa"/>
            <w:shd w:val="clear" w:color="auto" w:fill="auto"/>
          </w:tcPr>
          <w:p w14:paraId="22329F6C"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pPr>
            <w:r w:rsidRPr="00407468">
              <w:t xml:space="preserve">11 měsíců </w:t>
            </w:r>
            <w:r>
              <w:t xml:space="preserve">od ukončení Sekce 2 </w:t>
            </w:r>
            <w:r w:rsidRPr="00407468">
              <w:t>(předpokládané zahájení</w:t>
            </w:r>
            <w:r>
              <w:t xml:space="preserve"> vlastních stavebních prací v</w:t>
            </w:r>
            <w:r w:rsidRPr="00407468">
              <w:t xml:space="preserve"> </w:t>
            </w:r>
            <w:r>
              <w:t>03/2022</w:t>
            </w:r>
            <w:r w:rsidRPr="00407468">
              <w:t>)</w:t>
            </w:r>
          </w:p>
        </w:tc>
      </w:tr>
      <w:tr w:rsidR="00D143CA" w:rsidRPr="007E040C" w14:paraId="33702EE3" w14:textId="77777777" w:rsidTr="007F4E20">
        <w:tc>
          <w:tcPr>
            <w:cnfStyle w:val="001000000000" w:firstRow="0" w:lastRow="0" w:firstColumn="1" w:lastColumn="0" w:oddVBand="0" w:evenVBand="0" w:oddHBand="0" w:evenHBand="0" w:firstRowFirstColumn="0" w:firstRowLastColumn="0" w:lastRowFirstColumn="0" w:lastRowLastColumn="0"/>
            <w:tcW w:w="709" w:type="dxa"/>
            <w:vMerge/>
          </w:tcPr>
          <w:p w14:paraId="1CF73361" w14:textId="77777777" w:rsidR="00D143CA" w:rsidRDefault="00D143CA" w:rsidP="00FC5DDC">
            <w:pPr>
              <w:pStyle w:val="Tabulka-9"/>
            </w:pPr>
          </w:p>
        </w:tc>
        <w:tc>
          <w:tcPr>
            <w:tcW w:w="1559" w:type="dxa"/>
          </w:tcPr>
          <w:p w14:paraId="527ADB9E" w14:textId="77777777" w:rsidR="00D143CA" w:rsidRDefault="00D143CA" w:rsidP="00FC5DDC">
            <w:pPr>
              <w:pStyle w:val="Tabulka-9"/>
              <w:cnfStyle w:val="000000000000" w:firstRow="0" w:lastRow="0" w:firstColumn="0" w:lastColumn="0" w:oddVBand="0" w:evenVBand="0" w:oddHBand="0" w:evenHBand="0" w:firstRowFirstColumn="0" w:firstRowLastColumn="0" w:lastRowFirstColumn="0" w:lastRowLastColumn="0"/>
            </w:pPr>
            <w:r>
              <w:t>Sekce 4 (viz Etapu</w:t>
            </w:r>
            <w:r w:rsidRPr="00407468">
              <w:t xml:space="preserve"> </w:t>
            </w:r>
            <w:r>
              <w:t>2 v HMG)</w:t>
            </w:r>
          </w:p>
        </w:tc>
        <w:tc>
          <w:tcPr>
            <w:tcW w:w="3415" w:type="dxa"/>
          </w:tcPr>
          <w:p w14:paraId="4E480BE6"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dokončení demontáže stávající ocelové konstrukce mostu,</w:t>
            </w:r>
          </w:p>
          <w:p w14:paraId="3CFD45AE"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dokončení úprav v toku a na březích řeky Labe,</w:t>
            </w:r>
          </w:p>
          <w:p w14:paraId="5B66F6DB" w14:textId="77777777" w:rsidR="00D143CA"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sidRPr="00407468">
              <w:rPr>
                <w:sz w:val="16"/>
              </w:rPr>
              <w:t>– úprava území dotčeného stavbou</w:t>
            </w:r>
          </w:p>
          <w:p w14:paraId="181916D0"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Pr>
                <w:sz w:val="16"/>
              </w:rPr>
              <w:t>-následná úprava GPK</w:t>
            </w:r>
          </w:p>
        </w:tc>
        <w:tc>
          <w:tcPr>
            <w:tcW w:w="1393" w:type="dxa"/>
          </w:tcPr>
          <w:p w14:paraId="158CE895" w14:textId="77777777" w:rsidR="00D143CA" w:rsidRPr="00585447" w:rsidRDefault="00D143CA" w:rsidP="00FC5DDC">
            <w:pPr>
              <w:pStyle w:val="Tabulka-9"/>
              <w:cnfStyle w:val="000000000000" w:firstRow="0" w:lastRow="0" w:firstColumn="0" w:lastColumn="0" w:oddVBand="0" w:evenVBand="0" w:oddHBand="0" w:evenHBand="0" w:firstRowFirstColumn="0" w:firstRowLastColumn="0" w:lastRowFirstColumn="0" w:lastRowLastColumn="0"/>
            </w:pPr>
            <w:r w:rsidRPr="000D3646">
              <w:t>1 x 6 hod (viz DSP, část B, kap. 8.7 a 8.9)</w:t>
            </w:r>
          </w:p>
        </w:tc>
        <w:tc>
          <w:tcPr>
            <w:tcW w:w="1812" w:type="dxa"/>
            <w:shd w:val="clear" w:color="auto" w:fill="auto"/>
          </w:tcPr>
          <w:p w14:paraId="59C34663"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pPr>
            <w:r>
              <w:t xml:space="preserve">2 měsíce od ukončení Sekce 3 (Předpokládaný termín </w:t>
            </w:r>
            <w:r w:rsidRPr="00BB4A54">
              <w:t>03/202</w:t>
            </w:r>
            <w:r>
              <w:t>3</w:t>
            </w:r>
            <w:r w:rsidRPr="00BB4A54">
              <w:t xml:space="preserve"> - 04/2023</w:t>
            </w:r>
          </w:p>
        </w:tc>
      </w:tr>
      <w:tr w:rsidR="00D143CA" w:rsidRPr="007E040C" w14:paraId="4B6BB525" w14:textId="77777777" w:rsidTr="007F4E20">
        <w:tc>
          <w:tcPr>
            <w:cnfStyle w:val="001000000000" w:firstRow="0" w:lastRow="0" w:firstColumn="1" w:lastColumn="0" w:oddVBand="0" w:evenVBand="0" w:oddHBand="0" w:evenHBand="0" w:firstRowFirstColumn="0" w:firstRowLastColumn="0" w:lastRowFirstColumn="0" w:lastRowLastColumn="0"/>
            <w:tcW w:w="2268" w:type="dxa"/>
            <w:gridSpan w:val="2"/>
          </w:tcPr>
          <w:p w14:paraId="71C39C05" w14:textId="77777777" w:rsidR="00D143CA" w:rsidRDefault="00D143CA" w:rsidP="00FC5DDC">
            <w:pPr>
              <w:pStyle w:val="Tabulka-9"/>
            </w:pPr>
            <w:r>
              <w:t>Dokončení Díl</w:t>
            </w:r>
            <w:bookmarkStart w:id="0" w:name="_GoBack"/>
            <w:bookmarkEnd w:id="0"/>
            <w:r>
              <w:t xml:space="preserve">a </w:t>
            </w:r>
          </w:p>
        </w:tc>
        <w:tc>
          <w:tcPr>
            <w:tcW w:w="3415" w:type="dxa"/>
          </w:tcPr>
          <w:p w14:paraId="784558AF" w14:textId="77777777" w:rsidR="00D143CA" w:rsidRPr="00407468" w:rsidRDefault="00D143CA" w:rsidP="00FC5DDC">
            <w:pPr>
              <w:pStyle w:val="Tabulka-9"/>
              <w:cnfStyle w:val="000000000000" w:firstRow="0" w:lastRow="0" w:firstColumn="0" w:lastColumn="0" w:oddVBand="0" w:evenVBand="0" w:oddHBand="0" w:evenHBand="0" w:firstRowFirstColumn="0" w:firstRowLastColumn="0" w:lastRowFirstColumn="0" w:lastRowLastColumn="0"/>
              <w:rPr>
                <w:sz w:val="16"/>
              </w:rPr>
            </w:pPr>
            <w:r>
              <w:rPr>
                <w:sz w:val="16"/>
              </w:rPr>
              <w:t xml:space="preserve">SO 98-98 kromě položek </w:t>
            </w:r>
            <w:r w:rsidRPr="00F41D56">
              <w:rPr>
                <w:sz w:val="16"/>
              </w:rPr>
              <w:t xml:space="preserve">č. </w:t>
            </w:r>
            <w:r>
              <w:t>1, 2, 3, 5 a 6</w:t>
            </w:r>
            <w:r>
              <w:rPr>
                <w:sz w:val="16"/>
              </w:rPr>
              <w:t>, které jsou provedeny v Sekci 1 stavební</w:t>
            </w:r>
          </w:p>
        </w:tc>
        <w:tc>
          <w:tcPr>
            <w:tcW w:w="1393" w:type="dxa"/>
          </w:tcPr>
          <w:p w14:paraId="17682EEF" w14:textId="77777777" w:rsidR="00D143CA" w:rsidRPr="000D3646" w:rsidRDefault="00D143CA" w:rsidP="00FC5DDC">
            <w:pPr>
              <w:pStyle w:val="Tabulka-9"/>
              <w:cnfStyle w:val="000000000000" w:firstRow="0" w:lastRow="0" w:firstColumn="0" w:lastColumn="0" w:oddVBand="0" w:evenVBand="0" w:oddHBand="0" w:evenHBand="0" w:firstRowFirstColumn="0" w:firstRowLastColumn="0" w:lastRowFirstColumn="0" w:lastRowLastColumn="0"/>
            </w:pPr>
          </w:p>
        </w:tc>
        <w:tc>
          <w:tcPr>
            <w:tcW w:w="1812" w:type="dxa"/>
          </w:tcPr>
          <w:p w14:paraId="12DD35F5" w14:textId="77777777" w:rsidR="00D143CA" w:rsidRPr="00BB4A54" w:rsidRDefault="00D143CA" w:rsidP="00FC5DDC">
            <w:pPr>
              <w:pStyle w:val="Tabulka-9"/>
              <w:cnfStyle w:val="000000000000" w:firstRow="0" w:lastRow="0" w:firstColumn="0" w:lastColumn="0" w:oddVBand="0" w:evenVBand="0" w:oddHBand="0" w:evenHBand="0" w:firstRowFirstColumn="0" w:firstRowLastColumn="0" w:lastRowFirstColumn="0" w:lastRowLastColumn="0"/>
            </w:pPr>
            <w:r>
              <w:t xml:space="preserve">6 měsíců po ukončení Sekce 1 stavební </w:t>
            </w:r>
          </w:p>
        </w:tc>
      </w:tr>
    </w:tbl>
    <w:p w14:paraId="35AD0E61" w14:textId="77777777" w:rsidR="00AF0360" w:rsidRPr="00AF0360" w:rsidRDefault="00AF0360" w:rsidP="00AF0360"/>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lastRenderedPageBreak/>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BE147A">
        <w:t xml:space="preserve">. </w:t>
      </w:r>
      <w:r w:rsidR="00AA227A" w:rsidRPr="00BE147A">
        <w:t xml:space="preserve">7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0CB3B5E8" w14:textId="77777777" w:rsidR="00EC7081" w:rsidRPr="00516EB3" w:rsidRDefault="00BB79E8" w:rsidP="005D168C">
      <w:pPr>
        <w:pStyle w:val="Textbezodsazen"/>
      </w:pPr>
      <w:r w:rsidRPr="00516EB3">
        <w:t>Zhot</w:t>
      </w:r>
      <w:r w:rsidR="00953532" w:rsidRPr="00516EB3">
        <w:t>ovitel se zava</w:t>
      </w:r>
      <w:r w:rsidR="007B1246" w:rsidRPr="00516EB3">
        <w:t>zuje:</w:t>
      </w:r>
    </w:p>
    <w:p w14:paraId="35E39222" w14:textId="64A4CF16" w:rsidR="00953532" w:rsidRPr="00516EB3" w:rsidRDefault="00516EB3" w:rsidP="00953532">
      <w:pPr>
        <w:pStyle w:val="Textbezodsazen"/>
        <w:numPr>
          <w:ilvl w:val="0"/>
          <w:numId w:val="27"/>
        </w:numPr>
      </w:pPr>
      <w:r w:rsidRPr="00516EB3">
        <w:t>Na základě požadavku Objednatele umožnit exkurzi skupině studentů vysoké nebo střední školy v oboru relevantním k Dílu.</w:t>
      </w:r>
    </w:p>
    <w:p w14:paraId="5C6CA4EB" w14:textId="77777777" w:rsidR="00C96E7C" w:rsidRDefault="00C96E7C" w:rsidP="005B7883">
      <w:pPr>
        <w:pStyle w:val="Nadpisbezsl1-2"/>
      </w:pPr>
      <w:r>
        <w:t>2.1  Právo přístupu na staveniště</w:t>
      </w:r>
    </w:p>
    <w:p w14:paraId="4EFFAE80" w14:textId="538DF792" w:rsidR="00C96E7C" w:rsidRDefault="00C96E7C" w:rsidP="005D168C">
      <w:pPr>
        <w:pStyle w:val="Textbezodsazen"/>
      </w:pPr>
      <w:r>
        <w:t xml:space="preserve">Přístup na Staveniště bude Zhotoviteli umožněn od </w:t>
      </w:r>
      <w:r w:rsidR="00516EB3" w:rsidRPr="00DA5863">
        <w:t>předání staveniště</w:t>
      </w:r>
      <w:r w:rsidRPr="00DA5863">
        <w:t xml:space="preserve"> do </w:t>
      </w:r>
      <w:r>
        <w:t>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5CEDE8E" w14:textId="16E679E3" w:rsidR="00B623B9" w:rsidRPr="00DA5863" w:rsidRDefault="00B623B9" w:rsidP="00B623B9">
      <w:pPr>
        <w:pStyle w:val="Textbezodsazen"/>
        <w:numPr>
          <w:ilvl w:val="0"/>
          <w:numId w:val="48"/>
        </w:numPr>
        <w:spacing w:after="0"/>
      </w:pPr>
      <w:r w:rsidRPr="00DA5863">
        <w:t xml:space="preserve">JUDr. Richard Cihlář </w:t>
      </w:r>
    </w:p>
    <w:p w14:paraId="6C3C9D3D" w14:textId="77777777" w:rsidR="00B623B9" w:rsidRPr="00DA5863" w:rsidRDefault="00B623B9" w:rsidP="00B623B9">
      <w:pPr>
        <w:pStyle w:val="Textbezodsazen"/>
        <w:spacing w:after="0"/>
        <w:ind w:firstLine="709"/>
      </w:pPr>
      <w:r w:rsidRPr="00DA5863">
        <w:t>Správa železnic, státní organizace</w:t>
      </w:r>
    </w:p>
    <w:p w14:paraId="6C691B14" w14:textId="77777777" w:rsidR="00B623B9" w:rsidRPr="00DA5863" w:rsidRDefault="00B623B9" w:rsidP="00B623B9">
      <w:pPr>
        <w:pStyle w:val="Textbezodsazen"/>
        <w:spacing w:after="0"/>
        <w:ind w:left="709"/>
      </w:pPr>
      <w:r w:rsidRPr="00DA5863">
        <w:t>Stavební správa západ</w:t>
      </w:r>
    </w:p>
    <w:p w14:paraId="1740BA17" w14:textId="32DF9B85" w:rsidR="00B623B9" w:rsidRPr="00DA5863" w:rsidRDefault="00B623B9" w:rsidP="00B623B9">
      <w:pPr>
        <w:pStyle w:val="Textbezodsazen"/>
        <w:spacing w:after="0"/>
        <w:ind w:firstLine="709"/>
      </w:pPr>
      <w:r w:rsidRPr="00DA5863">
        <w:t xml:space="preserve">Sokolovská 1955/278, 190 00 Praha 9 </w:t>
      </w:r>
    </w:p>
    <w:p w14:paraId="66B67ECC" w14:textId="0F5F22C3" w:rsidR="00C96E7C" w:rsidRPr="00DA5863" w:rsidRDefault="00B623B9" w:rsidP="00B623B9">
      <w:pPr>
        <w:pStyle w:val="Textbezodsazen"/>
        <w:ind w:left="720"/>
      </w:pPr>
      <w:r w:rsidRPr="00DA5863">
        <w:lastRenderedPageBreak/>
        <w:t xml:space="preserve">mobil 702 163 402, e-mail: </w:t>
      </w:r>
      <w:hyperlink r:id="rId12" w:history="1">
        <w:r w:rsidRPr="00DA5863">
          <w:rPr>
            <w:rStyle w:val="Hypertextovodkaz"/>
            <w:noProof w:val="0"/>
            <w:color w:val="auto"/>
          </w:rPr>
          <w:t>CihlarR@spravazeleznic.cz</w:t>
        </w:r>
      </w:hyperlink>
    </w:p>
    <w:p w14:paraId="022B3B8B" w14:textId="77C90D32" w:rsidR="003E2E24" w:rsidRPr="00DA5863" w:rsidRDefault="00B623B9" w:rsidP="00B623B9">
      <w:pPr>
        <w:pStyle w:val="Textbezodsazen"/>
      </w:pPr>
      <w:r w:rsidRPr="00DA5863">
        <w:t>V</w:t>
      </w:r>
      <w:r w:rsidR="003E2E24" w:rsidRPr="00DA5863">
        <w:t>e věci kontroly požití a</w:t>
      </w:r>
      <w:r w:rsidRPr="00DA5863">
        <w:t>lkoholu a/nebo návykových látek:</w:t>
      </w:r>
    </w:p>
    <w:p w14:paraId="5BBE5365" w14:textId="77777777" w:rsidR="00B623B9" w:rsidRPr="00DA5863" w:rsidRDefault="00B623B9" w:rsidP="00B623B9">
      <w:pPr>
        <w:pStyle w:val="Textbezodsazen"/>
        <w:spacing w:after="0"/>
        <w:ind w:left="709" w:hanging="425"/>
      </w:pPr>
      <w:r w:rsidRPr="00DA5863">
        <w:t xml:space="preserve">- </w:t>
      </w:r>
      <w:r w:rsidRPr="00DA5863">
        <w:tab/>
        <w:t>Ing. Martin Šesták</w:t>
      </w:r>
    </w:p>
    <w:p w14:paraId="2F9240C1" w14:textId="77777777" w:rsidR="00B623B9" w:rsidRPr="00DA5863" w:rsidRDefault="00B623B9" w:rsidP="00B623B9">
      <w:pPr>
        <w:pStyle w:val="Textbezodsazen"/>
        <w:spacing w:after="0"/>
        <w:ind w:firstLine="709"/>
      </w:pPr>
      <w:r w:rsidRPr="00DA5863">
        <w:t>Správa železnic, státní organizace</w:t>
      </w:r>
    </w:p>
    <w:p w14:paraId="18CAF7A5" w14:textId="77777777" w:rsidR="00B623B9" w:rsidRPr="00DA5863" w:rsidRDefault="00B623B9" w:rsidP="00B623B9">
      <w:pPr>
        <w:pStyle w:val="Textbezodsazen"/>
        <w:spacing w:after="0"/>
        <w:ind w:left="709"/>
      </w:pPr>
      <w:r w:rsidRPr="00DA5863">
        <w:t>Stavební správa západ</w:t>
      </w:r>
    </w:p>
    <w:p w14:paraId="3D8B2C04" w14:textId="77777777" w:rsidR="00B623B9" w:rsidRPr="00DA5863" w:rsidRDefault="00B623B9" w:rsidP="00B623B9">
      <w:pPr>
        <w:pStyle w:val="Textbezodsazen"/>
        <w:spacing w:after="0"/>
        <w:ind w:left="709"/>
      </w:pPr>
      <w:r w:rsidRPr="00DA5863">
        <w:t xml:space="preserve">Sušická 1105/25, 326 00 Plzeň </w:t>
      </w:r>
    </w:p>
    <w:p w14:paraId="770C3D35" w14:textId="1F245C56" w:rsidR="00B623B9" w:rsidRPr="00DA5863" w:rsidRDefault="00B623B9" w:rsidP="00B623B9">
      <w:pPr>
        <w:pStyle w:val="Textbezodsazen"/>
        <w:ind w:firstLine="709"/>
      </w:pPr>
      <w:r w:rsidRPr="00DA5863">
        <w:t xml:space="preserve">mobil 602 708 920, e-mail: </w:t>
      </w:r>
      <w:hyperlink r:id="rId13" w:history="1">
        <w:r w:rsidRPr="00DA5863">
          <w:rPr>
            <w:rStyle w:val="Hypertextovodkaz"/>
            <w:noProof w:val="0"/>
            <w:color w:val="auto"/>
          </w:rPr>
          <w:t>SestakM@spravazeleznic.cz</w:t>
        </w:r>
      </w:hyperlink>
    </w:p>
    <w:p w14:paraId="14EFCD1A" w14:textId="77777777" w:rsidR="00B623B9" w:rsidRPr="00AF0360" w:rsidRDefault="00B623B9" w:rsidP="00B623B9">
      <w:pPr>
        <w:pStyle w:val="Textbezodsazen"/>
        <w:spacing w:after="0"/>
      </w:pPr>
      <w:r w:rsidRPr="00AF0360">
        <w:t xml:space="preserve">Úředně oprávněný zeměměřický inženýr:  </w:t>
      </w:r>
    </w:p>
    <w:p w14:paraId="14028DD6" w14:textId="77777777" w:rsidR="00AF0360" w:rsidRPr="00AF0360" w:rsidRDefault="00B623B9" w:rsidP="00AF0360">
      <w:pPr>
        <w:pStyle w:val="Textbezodsazen"/>
        <w:spacing w:after="0"/>
        <w:ind w:left="709" w:hanging="425"/>
      </w:pPr>
      <w:r w:rsidRPr="00AF0360">
        <w:t xml:space="preserve">- </w:t>
      </w:r>
      <w:r w:rsidRPr="00AF0360">
        <w:tab/>
      </w:r>
      <w:r w:rsidR="00AF0360" w:rsidRPr="00AF0360">
        <w:t>Ing. Jiří Balcárek</w:t>
      </w:r>
    </w:p>
    <w:p w14:paraId="41080DBA" w14:textId="77777777" w:rsidR="00AF0360" w:rsidRPr="00AF0360" w:rsidRDefault="00AF0360" w:rsidP="00AF0360">
      <w:pPr>
        <w:pStyle w:val="Textbezodsazen"/>
        <w:spacing w:after="0"/>
        <w:ind w:firstLine="709"/>
      </w:pPr>
      <w:r w:rsidRPr="00AF0360">
        <w:t>Správa železniční geodézie</w:t>
      </w:r>
    </w:p>
    <w:p w14:paraId="6D03813E" w14:textId="77777777" w:rsidR="00AF0360" w:rsidRPr="00AF0360" w:rsidRDefault="00AF0360" w:rsidP="00AF0360">
      <w:pPr>
        <w:pStyle w:val="Textbezodsazen"/>
        <w:spacing w:after="0"/>
        <w:ind w:firstLine="709"/>
      </w:pPr>
      <w:r w:rsidRPr="00AF0360">
        <w:t>K Můstku 1451/2, 400 01 Ústí nad Labem</w:t>
      </w:r>
    </w:p>
    <w:p w14:paraId="7A275E82" w14:textId="3A821E36" w:rsidR="00B623B9" w:rsidRPr="00AF0360" w:rsidRDefault="00AF0360" w:rsidP="00AF0360">
      <w:pPr>
        <w:pStyle w:val="Textbezodsazen"/>
        <w:spacing w:after="0"/>
        <w:ind w:left="709"/>
      </w:pPr>
      <w:r w:rsidRPr="00AF0360">
        <w:t>mobil 606 054 296, e-mail: BalcarekJ@spravazeleznic.cz</w:t>
      </w:r>
    </w:p>
    <w:p w14:paraId="53618AE0" w14:textId="77777777" w:rsidR="00B623B9" w:rsidRPr="00DA5863" w:rsidRDefault="00B623B9" w:rsidP="00B623B9">
      <w:pPr>
        <w:pStyle w:val="Textbezodsazen"/>
        <w:spacing w:after="0"/>
      </w:pP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7F03AC" w:rsidRDefault="00857A77" w:rsidP="00AA7F27">
      <w:pPr>
        <w:pStyle w:val="Nadpisbezsl1-2"/>
      </w:pPr>
      <w:r w:rsidRPr="007F03AC">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Pododstavec (j) se doplňuje o text: „…převedl svoji podnikatelskou činnost nebo její část ,…“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lastRenderedPageBreak/>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Pr="00897278" w:rsidRDefault="00C96E7C" w:rsidP="005B7883">
      <w:pPr>
        <w:pStyle w:val="Nadpisbezsl1-2"/>
        <w:rPr>
          <w:color w:val="FF0000"/>
        </w:rPr>
      </w:pPr>
      <w:r>
        <w:t xml:space="preserve">4.28 </w:t>
      </w:r>
      <w:r w:rsidRPr="00B27943">
        <w:t>Postupné závazné milníky</w:t>
      </w:r>
    </w:p>
    <w:p w14:paraId="78458959" w14:textId="3D188EFF" w:rsidR="00500582" w:rsidRDefault="00500582" w:rsidP="00500582">
      <w:pPr>
        <w:pStyle w:val="Textbezodsazen"/>
      </w:pPr>
      <w:r>
        <w:t>Pro provádění Díla jsou stanoveny následující milníky:</w:t>
      </w:r>
      <w:r w:rsidR="00897278">
        <w:t xml:space="preserve"> </w:t>
      </w:r>
    </w:p>
    <w:p w14:paraId="457AA2C0" w14:textId="5FF120C0" w:rsidR="00B27943" w:rsidRPr="00AF0360" w:rsidRDefault="00B27943" w:rsidP="00B27943">
      <w:pPr>
        <w:pStyle w:val="Textbezodsazen"/>
        <w:numPr>
          <w:ilvl w:val="0"/>
          <w:numId w:val="27"/>
        </w:numPr>
      </w:pPr>
      <w:r w:rsidRPr="00AF0360">
        <w:t>dokončení Sekce</w:t>
      </w:r>
      <w:r w:rsidR="00871735">
        <w:t xml:space="preserve"> 2 (Etapu</w:t>
      </w:r>
      <w:r w:rsidRPr="00AF0360">
        <w:t xml:space="preserve"> 0 </w:t>
      </w:r>
      <w:r w:rsidR="00BA3E3F" w:rsidRPr="00AF0360">
        <w:t>dle</w:t>
      </w:r>
      <w:r w:rsidRPr="00AF0360">
        <w:t xml:space="preserve"> HMG</w:t>
      </w:r>
      <w:r w:rsidR="0091244F">
        <w:t xml:space="preserve"> dle DSP</w:t>
      </w:r>
      <w:r w:rsidR="00871735">
        <w:t>)</w:t>
      </w:r>
      <w:r w:rsidRPr="00AF0360">
        <w:t xml:space="preserve"> do 03/2022,</w:t>
      </w:r>
    </w:p>
    <w:p w14:paraId="723292C4" w14:textId="1895FD32" w:rsidR="00B27943" w:rsidRPr="00AF0360" w:rsidRDefault="00B27943" w:rsidP="00B27943">
      <w:pPr>
        <w:pStyle w:val="Textbezodsazen"/>
        <w:numPr>
          <w:ilvl w:val="0"/>
          <w:numId w:val="27"/>
        </w:numPr>
      </w:pPr>
      <w:r w:rsidRPr="00AF0360">
        <w:t>dokončení Sekce</w:t>
      </w:r>
      <w:r w:rsidR="00871735">
        <w:t xml:space="preserve"> 3 (</w:t>
      </w:r>
      <w:r w:rsidRPr="00AF0360">
        <w:t xml:space="preserve">Etapy 1 </w:t>
      </w:r>
      <w:r w:rsidR="00BA3E3F" w:rsidRPr="00AF0360">
        <w:t>dle</w:t>
      </w:r>
      <w:r w:rsidRPr="00AF0360">
        <w:t> HMG</w:t>
      </w:r>
      <w:r w:rsidR="0091244F">
        <w:t xml:space="preserve"> dle DSP</w:t>
      </w:r>
      <w:r w:rsidR="00871735">
        <w:t>)</w:t>
      </w:r>
      <w:r w:rsidRPr="00AF0360">
        <w:t xml:space="preserve"> do </w:t>
      </w:r>
      <w:r w:rsidRPr="005B37DB">
        <w:t>03/2023 (11</w:t>
      </w:r>
      <w:r w:rsidRPr="00AF0360">
        <w:t xml:space="preserve"> měsíců od ukončení Sekce</w:t>
      </w:r>
      <w:r w:rsidR="00C92F43" w:rsidRPr="00AF0360">
        <w:t>/Etapy 0 dle HMG)</w:t>
      </w:r>
      <w:r w:rsidRPr="00AF0360">
        <w:t>.</w:t>
      </w:r>
    </w:p>
    <w:p w14:paraId="66854CDD" w14:textId="0BDFA984" w:rsidR="00C96E7C" w:rsidRDefault="00C96E7C" w:rsidP="005B7883">
      <w:pPr>
        <w:pStyle w:val="Nadpisbezsl1-2"/>
      </w:pPr>
      <w:r>
        <w:t>8.2, 8.4  Doba pro dokončení, Prodloužení doby pro dokončení</w:t>
      </w:r>
    </w:p>
    <w:p w14:paraId="22E2A309" w14:textId="37D3CE4A" w:rsidR="00C96E7C" w:rsidRPr="00AF0360" w:rsidRDefault="00C96E7C" w:rsidP="005D168C">
      <w:pPr>
        <w:pStyle w:val="Textbezodsazen"/>
      </w:pPr>
      <w:r>
        <w:t>Zhotovitel je povinen dokončit celé Dílo včetně příslušné dokumentace dle pod-článku 7.9 do</w:t>
      </w:r>
      <w:r w:rsidR="004D4B84">
        <w:t xml:space="preserve"> </w:t>
      </w:r>
      <w:r w:rsidR="00BA3E3F" w:rsidRPr="00AF0360">
        <w:rPr>
          <w:b/>
        </w:rPr>
        <w:t>2</w:t>
      </w:r>
      <w:r w:rsidR="00AF0360" w:rsidRPr="00AF0360">
        <w:rPr>
          <w:b/>
        </w:rPr>
        <w:t>9</w:t>
      </w:r>
      <w:r w:rsidR="00BA3E3F" w:rsidRPr="00AF0360">
        <w:rPr>
          <w:b/>
        </w:rPr>
        <w:t xml:space="preserve"> měsíců</w:t>
      </w:r>
      <w:r w:rsidR="00BA3E3F" w:rsidRPr="00AF0360">
        <w:t xml:space="preserve"> od Data zahájení prací</w:t>
      </w:r>
      <w:r w:rsidRPr="00AF0360">
        <w:t>.</w:t>
      </w:r>
    </w:p>
    <w:p w14:paraId="2F057894" w14:textId="77777777" w:rsidR="00C96E7C" w:rsidRDefault="00C96E7C" w:rsidP="005B7883">
      <w:pPr>
        <w:pStyle w:val="Nadpisbezsl1-2"/>
      </w:pPr>
      <w:r>
        <w:t>8.2, 1.1.3.10  Doba pro uvedení do provozu</w:t>
      </w:r>
    </w:p>
    <w:p w14:paraId="7FEF8740" w14:textId="751C817A" w:rsidR="00C96E7C" w:rsidRPr="00AF0360" w:rsidRDefault="00C96E7C" w:rsidP="005D168C">
      <w:pPr>
        <w:pStyle w:val="Textbezodsazen"/>
      </w:pPr>
      <w:r w:rsidRPr="00AF0360">
        <w:t xml:space="preserve">Zhotovitel je povinen dokončit </w:t>
      </w:r>
      <w:r w:rsidR="00897278" w:rsidRPr="00AF0360">
        <w:t>Sekci</w:t>
      </w:r>
      <w:r w:rsidR="0091244F">
        <w:t xml:space="preserve"> 3 (</w:t>
      </w:r>
      <w:r w:rsidR="00897278" w:rsidRPr="00AF0360">
        <w:t>Etapu</w:t>
      </w:r>
      <w:r w:rsidR="00016D08" w:rsidRPr="00AF0360">
        <w:t xml:space="preserve"> </w:t>
      </w:r>
      <w:r w:rsidR="00897278" w:rsidRPr="00AF0360">
        <w:t>1</w:t>
      </w:r>
      <w:r w:rsidR="008E130F" w:rsidRPr="00AF0360">
        <w:t xml:space="preserve"> dle HMG</w:t>
      </w:r>
      <w:r w:rsidR="0091244F">
        <w:t xml:space="preserve"> z DSP)</w:t>
      </w:r>
      <w:r w:rsidR="00582C15" w:rsidRPr="00AF0360">
        <w:t xml:space="preserve"> v </w:t>
      </w:r>
      <w:r w:rsidRPr="00AF0360">
        <w:t>rozsahu nezbytném pro účely uvedení Díla nebo Sekce do provozu za podmínek stavebního zákona</w:t>
      </w:r>
      <w:r w:rsidR="00582C15" w:rsidRPr="00AF0360">
        <w:t xml:space="preserve"> a </w:t>
      </w:r>
      <w:r w:rsidRPr="00AF0360">
        <w:t>zákona</w:t>
      </w:r>
      <w:r w:rsidR="00582C15" w:rsidRPr="00AF0360">
        <w:t xml:space="preserve"> o </w:t>
      </w:r>
      <w:r w:rsidRPr="00AF0360">
        <w:t xml:space="preserve">drahách nejpozději do </w:t>
      </w:r>
      <w:r w:rsidR="00897278" w:rsidRPr="00AF0360">
        <w:rPr>
          <w:b/>
        </w:rPr>
        <w:t xml:space="preserve">11 </w:t>
      </w:r>
      <w:r w:rsidRPr="00AF0360">
        <w:rPr>
          <w:b/>
        </w:rPr>
        <w:t>měsíců</w:t>
      </w:r>
      <w:r w:rsidRPr="00AF0360">
        <w:t xml:space="preserve"> od </w:t>
      </w:r>
      <w:r w:rsidR="008E130F" w:rsidRPr="00AF0360">
        <w:t>ukončení Sekce</w:t>
      </w:r>
      <w:r w:rsidR="0091244F">
        <w:t xml:space="preserve"> 2 (Etapu</w:t>
      </w:r>
      <w:r w:rsidR="008E130F" w:rsidRPr="00AF0360">
        <w:t xml:space="preserve"> 0 dle HMG</w:t>
      </w:r>
      <w:r w:rsidR="0091244F">
        <w:t xml:space="preserve"> v DSP)</w:t>
      </w:r>
      <w:r w:rsidRPr="00AF0360">
        <w:t>.</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lastRenderedPageBreak/>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2B548862"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0F6741">
        <w:t xml:space="preserve">se </w:t>
      </w:r>
      <w:r w:rsidR="000F6741" w:rsidRPr="000F6741">
        <w:t>25</w:t>
      </w:r>
      <w:r w:rsidRPr="000F6741">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lastRenderedPageBreak/>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523087EA"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bodu </w:t>
      </w:r>
      <w:r w:rsidR="002B67EF" w:rsidRPr="00BE147A">
        <w:t>a)</w:t>
      </w:r>
      <w:r w:rsidRPr="00BE147A">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r>
        <w:lastRenderedPageBreak/>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3E040532"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písm.(d) se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 zadá celé Dílo podzhotoviteli, postoupí Smlouvu nebo převede podnikatelskou činnost či její část bez požadované dohody či souhlasu Objednatele,</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990F281" w14:textId="678C3419" w:rsidR="00C732F0" w:rsidRDefault="00C96E7C" w:rsidP="00AF0360">
      <w:pPr>
        <w:pStyle w:val="Textbezodsazen"/>
      </w:pPr>
      <w:r>
        <w:t>Rozhodování sporů je upraveno dle varianty B.</w:t>
      </w:r>
    </w:p>
    <w:sectPr w:rsidR="00C732F0" w:rsidSect="00967F7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27953" w14:textId="77777777" w:rsidR="00961C90" w:rsidRDefault="00961C90" w:rsidP="00962258">
      <w:pPr>
        <w:spacing w:after="0" w:line="240" w:lineRule="auto"/>
      </w:pPr>
      <w:r>
        <w:separator/>
      </w:r>
    </w:p>
  </w:endnote>
  <w:endnote w:type="continuationSeparator" w:id="0">
    <w:p w14:paraId="02F846C9" w14:textId="77777777" w:rsidR="00961C90" w:rsidRDefault="00961C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300A8DE4"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E2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4E20">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2968AF7D"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7F4E20">
            <w:rPr>
              <w:b/>
              <w:noProof/>
            </w:rPr>
            <w:t>„Optimalizace traťového úseku Děčín východ (mimo) – Děčín-Prostřední Žleb (mimo)“</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7E54E77E"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7F4E20">
            <w:rPr>
              <w:b/>
              <w:noProof/>
            </w:rPr>
            <w:t>„Optimalizace traťového úseku Děčín východ (mimo) – Děčín-Prostřední Žleb (mimo)“</w:t>
          </w:r>
          <w:r w:rsidRPr="00967F7C">
            <w:rPr>
              <w:b/>
              <w:noProof/>
            </w:rPr>
            <w:fldChar w:fldCharType="end"/>
          </w:r>
        </w:p>
      </w:tc>
      <w:tc>
        <w:tcPr>
          <w:tcW w:w="1021" w:type="dxa"/>
          <w:vAlign w:val="bottom"/>
        </w:tcPr>
        <w:p w14:paraId="63EFD5E7" w14:textId="76D157C6"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F4E2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4E20">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D2AC" w14:textId="3106F820" w:rsidR="00240ED7" w:rsidRDefault="00961C90" w:rsidP="00967F7C">
    <w:pPr>
      <w:pStyle w:val="Zpat"/>
      <w:rPr>
        <w:rFonts w:cs="Calibri"/>
        <w:sz w:val="12"/>
        <w:szCs w:val="12"/>
      </w:rPr>
    </w:pPr>
    <w:r>
      <w:rPr>
        <w:rFonts w:cs="Calibri"/>
        <w:noProof/>
        <w:sz w:val="12"/>
        <w:szCs w:val="12"/>
        <w:lang w:eastAsia="cs-CZ"/>
      </w:rPr>
      <w:object w:dxaOrig="1440" w:dyaOrig="1440" w14:anchorId="685C1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8.75pt;margin-top:-47.35pt;width:335.55pt;height:36.7pt;z-index:251673600;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70141003" r:id="rId2"/>
      </w:object>
    </w:r>
    <w:r w:rsidR="00920DC8" w:rsidRPr="00967F7C">
      <w:rPr>
        <w:rFonts w:cs="Calibri"/>
        <w:sz w:val="12"/>
        <w:szCs w:val="12"/>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343A9" w14:textId="77777777" w:rsidR="00961C90" w:rsidRDefault="00961C90" w:rsidP="00962258">
      <w:pPr>
        <w:spacing w:after="0" w:line="240" w:lineRule="auto"/>
      </w:pPr>
      <w:r>
        <w:separator/>
      </w:r>
    </w:p>
  </w:footnote>
  <w:footnote w:type="continuationSeparator" w:id="0">
    <w:p w14:paraId="52836619" w14:textId="77777777" w:rsidR="00961C90" w:rsidRDefault="00961C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2"/>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6D08"/>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D5C55"/>
    <w:rsid w:val="000E04B8"/>
    <w:rsid w:val="000E0B11"/>
    <w:rsid w:val="000E1A7F"/>
    <w:rsid w:val="000F4591"/>
    <w:rsid w:val="000F674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54E06"/>
    <w:rsid w:val="001656A2"/>
    <w:rsid w:val="00170EC5"/>
    <w:rsid w:val="001747C1"/>
    <w:rsid w:val="00174FB5"/>
    <w:rsid w:val="00177D6B"/>
    <w:rsid w:val="00191F90"/>
    <w:rsid w:val="001965E6"/>
    <w:rsid w:val="001B022A"/>
    <w:rsid w:val="001B4E74"/>
    <w:rsid w:val="001C645F"/>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91225"/>
    <w:rsid w:val="002A3B57"/>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220DE"/>
    <w:rsid w:val="0042532F"/>
    <w:rsid w:val="00427794"/>
    <w:rsid w:val="004309EE"/>
    <w:rsid w:val="00441B4D"/>
    <w:rsid w:val="00450F07"/>
    <w:rsid w:val="00453CD3"/>
    <w:rsid w:val="00460660"/>
    <w:rsid w:val="00464BA9"/>
    <w:rsid w:val="00473DA0"/>
    <w:rsid w:val="00483969"/>
    <w:rsid w:val="00486107"/>
    <w:rsid w:val="00491827"/>
    <w:rsid w:val="004C4399"/>
    <w:rsid w:val="004C4830"/>
    <w:rsid w:val="004C6F56"/>
    <w:rsid w:val="004C787C"/>
    <w:rsid w:val="004D4B84"/>
    <w:rsid w:val="004E0643"/>
    <w:rsid w:val="004E6528"/>
    <w:rsid w:val="004E7A1F"/>
    <w:rsid w:val="004F4B9B"/>
    <w:rsid w:val="00500582"/>
    <w:rsid w:val="0050666E"/>
    <w:rsid w:val="005075E5"/>
    <w:rsid w:val="00511AB9"/>
    <w:rsid w:val="0051377C"/>
    <w:rsid w:val="00516EB3"/>
    <w:rsid w:val="00523BB5"/>
    <w:rsid w:val="00523EA7"/>
    <w:rsid w:val="005406EB"/>
    <w:rsid w:val="00553375"/>
    <w:rsid w:val="00555884"/>
    <w:rsid w:val="005571A2"/>
    <w:rsid w:val="005579CC"/>
    <w:rsid w:val="00570EA4"/>
    <w:rsid w:val="005736B7"/>
    <w:rsid w:val="00575E5A"/>
    <w:rsid w:val="00580245"/>
    <w:rsid w:val="00582C15"/>
    <w:rsid w:val="005A1F44"/>
    <w:rsid w:val="005B37DB"/>
    <w:rsid w:val="005B7883"/>
    <w:rsid w:val="005C4979"/>
    <w:rsid w:val="005C50A5"/>
    <w:rsid w:val="005C6607"/>
    <w:rsid w:val="005D168C"/>
    <w:rsid w:val="005D2F3D"/>
    <w:rsid w:val="005D3C39"/>
    <w:rsid w:val="005D6C32"/>
    <w:rsid w:val="005E00AD"/>
    <w:rsid w:val="005F3A96"/>
    <w:rsid w:val="005F3E29"/>
    <w:rsid w:val="005F7122"/>
    <w:rsid w:val="00601A8C"/>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7FFE"/>
    <w:rsid w:val="006E0578"/>
    <w:rsid w:val="006E13F8"/>
    <w:rsid w:val="006E314D"/>
    <w:rsid w:val="007066A5"/>
    <w:rsid w:val="00710723"/>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91F16"/>
    <w:rsid w:val="007A172F"/>
    <w:rsid w:val="007A4F2A"/>
    <w:rsid w:val="007A5172"/>
    <w:rsid w:val="007A67A0"/>
    <w:rsid w:val="007B1246"/>
    <w:rsid w:val="007B570C"/>
    <w:rsid w:val="007C4C3C"/>
    <w:rsid w:val="007C73B0"/>
    <w:rsid w:val="007D3C01"/>
    <w:rsid w:val="007D4C3D"/>
    <w:rsid w:val="007D626B"/>
    <w:rsid w:val="007E2B8D"/>
    <w:rsid w:val="007E4A6E"/>
    <w:rsid w:val="007F03AC"/>
    <w:rsid w:val="007F4E20"/>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71735"/>
    <w:rsid w:val="008825B2"/>
    <w:rsid w:val="008842C9"/>
    <w:rsid w:val="00897278"/>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E130F"/>
    <w:rsid w:val="008F18D6"/>
    <w:rsid w:val="008F2C9B"/>
    <w:rsid w:val="008F4AEA"/>
    <w:rsid w:val="008F6D6C"/>
    <w:rsid w:val="008F797B"/>
    <w:rsid w:val="00904780"/>
    <w:rsid w:val="0090635B"/>
    <w:rsid w:val="00906C36"/>
    <w:rsid w:val="0091244F"/>
    <w:rsid w:val="009162F5"/>
    <w:rsid w:val="00920DC8"/>
    <w:rsid w:val="00922385"/>
    <w:rsid w:val="009223DF"/>
    <w:rsid w:val="0092771B"/>
    <w:rsid w:val="00927B47"/>
    <w:rsid w:val="00936091"/>
    <w:rsid w:val="00940D8A"/>
    <w:rsid w:val="00946055"/>
    <w:rsid w:val="00953532"/>
    <w:rsid w:val="00961C90"/>
    <w:rsid w:val="00962258"/>
    <w:rsid w:val="009678B7"/>
    <w:rsid w:val="00967F7C"/>
    <w:rsid w:val="009779F3"/>
    <w:rsid w:val="00992D9C"/>
    <w:rsid w:val="00996496"/>
    <w:rsid w:val="00996CB8"/>
    <w:rsid w:val="009A06AE"/>
    <w:rsid w:val="009B0F8A"/>
    <w:rsid w:val="009B1A24"/>
    <w:rsid w:val="009B2E97"/>
    <w:rsid w:val="009B3AC4"/>
    <w:rsid w:val="009B5146"/>
    <w:rsid w:val="009B641A"/>
    <w:rsid w:val="009C00A0"/>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34449"/>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E1533"/>
    <w:rsid w:val="00AF0360"/>
    <w:rsid w:val="00AF0E06"/>
    <w:rsid w:val="00AF3955"/>
    <w:rsid w:val="00B008D5"/>
    <w:rsid w:val="00B02F73"/>
    <w:rsid w:val="00B0619F"/>
    <w:rsid w:val="00B12F2D"/>
    <w:rsid w:val="00B13A26"/>
    <w:rsid w:val="00B15D0D"/>
    <w:rsid w:val="00B22106"/>
    <w:rsid w:val="00B222FB"/>
    <w:rsid w:val="00B26D5E"/>
    <w:rsid w:val="00B27943"/>
    <w:rsid w:val="00B40591"/>
    <w:rsid w:val="00B511CF"/>
    <w:rsid w:val="00B5431A"/>
    <w:rsid w:val="00B61935"/>
    <w:rsid w:val="00B623B9"/>
    <w:rsid w:val="00B6270B"/>
    <w:rsid w:val="00B75EE1"/>
    <w:rsid w:val="00B77481"/>
    <w:rsid w:val="00B8518B"/>
    <w:rsid w:val="00B97CC3"/>
    <w:rsid w:val="00BA0EBA"/>
    <w:rsid w:val="00BA3E3F"/>
    <w:rsid w:val="00BB1D19"/>
    <w:rsid w:val="00BB5805"/>
    <w:rsid w:val="00BB79E8"/>
    <w:rsid w:val="00BC05F2"/>
    <w:rsid w:val="00BC06C4"/>
    <w:rsid w:val="00BD7E91"/>
    <w:rsid w:val="00BD7F0D"/>
    <w:rsid w:val="00BE147A"/>
    <w:rsid w:val="00BF5233"/>
    <w:rsid w:val="00C02D0A"/>
    <w:rsid w:val="00C038BD"/>
    <w:rsid w:val="00C03A6E"/>
    <w:rsid w:val="00C12C1E"/>
    <w:rsid w:val="00C1755A"/>
    <w:rsid w:val="00C21179"/>
    <w:rsid w:val="00C226C0"/>
    <w:rsid w:val="00C2298F"/>
    <w:rsid w:val="00C25AE7"/>
    <w:rsid w:val="00C32977"/>
    <w:rsid w:val="00C33406"/>
    <w:rsid w:val="00C42FE6"/>
    <w:rsid w:val="00C4491A"/>
    <w:rsid w:val="00C44F6A"/>
    <w:rsid w:val="00C45177"/>
    <w:rsid w:val="00C6198E"/>
    <w:rsid w:val="00C708EA"/>
    <w:rsid w:val="00C732F0"/>
    <w:rsid w:val="00C778A5"/>
    <w:rsid w:val="00C81FA5"/>
    <w:rsid w:val="00C83340"/>
    <w:rsid w:val="00C8675B"/>
    <w:rsid w:val="00C92F43"/>
    <w:rsid w:val="00C95162"/>
    <w:rsid w:val="00C95A47"/>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143CA"/>
    <w:rsid w:val="00D1661F"/>
    <w:rsid w:val="00D21061"/>
    <w:rsid w:val="00D246FC"/>
    <w:rsid w:val="00D30D72"/>
    <w:rsid w:val="00D36BD5"/>
    <w:rsid w:val="00D36EA0"/>
    <w:rsid w:val="00D4108E"/>
    <w:rsid w:val="00D435C3"/>
    <w:rsid w:val="00D45211"/>
    <w:rsid w:val="00D45E4C"/>
    <w:rsid w:val="00D54131"/>
    <w:rsid w:val="00D6163D"/>
    <w:rsid w:val="00D81A0E"/>
    <w:rsid w:val="00D831A3"/>
    <w:rsid w:val="00D90D67"/>
    <w:rsid w:val="00D975AB"/>
    <w:rsid w:val="00D97BE3"/>
    <w:rsid w:val="00DA3711"/>
    <w:rsid w:val="00DA47EF"/>
    <w:rsid w:val="00DA53DF"/>
    <w:rsid w:val="00DA5863"/>
    <w:rsid w:val="00DB160C"/>
    <w:rsid w:val="00DC0FD9"/>
    <w:rsid w:val="00DD24AF"/>
    <w:rsid w:val="00DD46F3"/>
    <w:rsid w:val="00DE56F2"/>
    <w:rsid w:val="00DF116D"/>
    <w:rsid w:val="00DF70D9"/>
    <w:rsid w:val="00E06EDE"/>
    <w:rsid w:val="00E1344F"/>
    <w:rsid w:val="00E13658"/>
    <w:rsid w:val="00E16FF7"/>
    <w:rsid w:val="00E26AD9"/>
    <w:rsid w:val="00E26D68"/>
    <w:rsid w:val="00E30C41"/>
    <w:rsid w:val="00E31FF4"/>
    <w:rsid w:val="00E37BAF"/>
    <w:rsid w:val="00E41EEA"/>
    <w:rsid w:val="00E44045"/>
    <w:rsid w:val="00E45560"/>
    <w:rsid w:val="00E46253"/>
    <w:rsid w:val="00E55B33"/>
    <w:rsid w:val="00E618C4"/>
    <w:rsid w:val="00E72324"/>
    <w:rsid w:val="00E76688"/>
    <w:rsid w:val="00E878EE"/>
    <w:rsid w:val="00E91D47"/>
    <w:rsid w:val="00EA0E0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0673C"/>
    <w:rsid w:val="00F12DEC"/>
    <w:rsid w:val="00F14E8A"/>
    <w:rsid w:val="00F1586D"/>
    <w:rsid w:val="00F1715C"/>
    <w:rsid w:val="00F20959"/>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lnab0">
    <w:name w:val="Příl_nab_0"/>
    <w:basedOn w:val="Normln"/>
    <w:link w:val="Plnab0Char"/>
    <w:qFormat/>
    <w:rsid w:val="00473DA0"/>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473DA0"/>
    <w:rPr>
      <w:rFonts w:ascii="Calibri" w:eastAsia="Times New Roman" w:hAnsi="Calibri" w:cs="Times New Roman"/>
      <w:sz w:val="22"/>
      <w:szCs w:val="22"/>
      <w:lang w:eastAsia="cs-CZ"/>
    </w:rPr>
  </w:style>
  <w:style w:type="paragraph" w:customStyle="1" w:styleId="Tabulka-9">
    <w:name w:val="_Tabulka-9"/>
    <w:basedOn w:val="Textbezodsazen"/>
    <w:qFormat/>
    <w:rsid w:val="00AF0360"/>
    <w:pPr>
      <w:spacing w:before="40" w:after="4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jbalM@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63827"/>
    <w:rsid w:val="00081C2D"/>
    <w:rsid w:val="00090F5B"/>
    <w:rsid w:val="00121BDD"/>
    <w:rsid w:val="0012229E"/>
    <w:rsid w:val="001D5893"/>
    <w:rsid w:val="00244EB6"/>
    <w:rsid w:val="00245584"/>
    <w:rsid w:val="002A3D32"/>
    <w:rsid w:val="002D6E16"/>
    <w:rsid w:val="003135E6"/>
    <w:rsid w:val="00347665"/>
    <w:rsid w:val="00391652"/>
    <w:rsid w:val="003B7384"/>
    <w:rsid w:val="00532D4D"/>
    <w:rsid w:val="00546E40"/>
    <w:rsid w:val="005701B9"/>
    <w:rsid w:val="006527E6"/>
    <w:rsid w:val="00676F10"/>
    <w:rsid w:val="00704B15"/>
    <w:rsid w:val="00714028"/>
    <w:rsid w:val="00876B24"/>
    <w:rsid w:val="008F63B8"/>
    <w:rsid w:val="0096090C"/>
    <w:rsid w:val="0096442C"/>
    <w:rsid w:val="009B79D6"/>
    <w:rsid w:val="00A61422"/>
    <w:rsid w:val="00B27107"/>
    <w:rsid w:val="00BB3F65"/>
    <w:rsid w:val="00BC6E2B"/>
    <w:rsid w:val="00CA70E8"/>
    <w:rsid w:val="00CC24D5"/>
    <w:rsid w:val="00CF4DD3"/>
    <w:rsid w:val="00D34D92"/>
    <w:rsid w:val="00D36C36"/>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92212D-F2E5-4EBB-9EA1-4FA50214B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5</TotalTime>
  <Pages>10</Pages>
  <Words>3837</Words>
  <Characters>22639</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2020-07-17T09:18:00Z</cp:lastPrinted>
  <dcterms:created xsi:type="dcterms:W3CDTF">2020-12-22T10:09:00Z</dcterms:created>
  <dcterms:modified xsi:type="dcterms:W3CDTF">2020-12-22T10:17:00Z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